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9B" w:rsidRDefault="006E5B9B" w:rsidP="006E5B9B">
      <w:pPr>
        <w:jc w:val="right"/>
        <w:rPr>
          <w:b/>
          <w:kern w:val="32"/>
        </w:rPr>
      </w:pPr>
      <w:r>
        <w:rPr>
          <w:b/>
        </w:rPr>
        <w:t>PRILOG 2.b</w:t>
      </w:r>
    </w:p>
    <w:p w:rsidR="006E5B9B" w:rsidRDefault="006E5B9B" w:rsidP="006E5B9B">
      <w:pPr>
        <w:jc w:val="both"/>
        <w:rPr>
          <w:b/>
        </w:rPr>
      </w:pPr>
      <w:r>
        <w:rPr>
          <w:b/>
          <w:kern w:val="32"/>
        </w:rPr>
        <w:t xml:space="preserve">Obveznik ___________________________________ </w:t>
      </w:r>
    </w:p>
    <w:p w:rsidR="006E5B9B" w:rsidRDefault="006E5B9B" w:rsidP="006E5B9B">
      <w:pPr>
        <w:jc w:val="center"/>
        <w:rPr>
          <w:b/>
        </w:rPr>
      </w:pPr>
    </w:p>
    <w:p w:rsidR="006E5B9B" w:rsidRDefault="006E5B9B" w:rsidP="006E5B9B">
      <w:pPr>
        <w:jc w:val="center"/>
        <w:rPr>
          <w:b/>
        </w:rPr>
      </w:pPr>
      <w:r>
        <w:rPr>
          <w:b/>
        </w:rPr>
        <w:t>UPITNIK O FISKALNOJ ODGOVORNOSTI ZA TRGOVAČKA DRUŠTVA I DRUGE PRAVNE OSOBE UTVRĐENE U REGISTRU TRGOVAČKIH DRUŠTAVA I DRUGIH PRAVNIH OSOBA OBVEZNIKA DAVANJA IZJAVE O FISKALNOJ ODGOVORNOSTI ZA _______ GODINU</w:t>
      </w:r>
    </w:p>
    <w:tbl>
      <w:tblPr>
        <w:tblW w:w="13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756"/>
        <w:gridCol w:w="560"/>
        <w:gridCol w:w="505"/>
        <w:gridCol w:w="639"/>
        <w:gridCol w:w="4674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6E5B9B" w:rsidTr="00B16BA4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374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PLANIRANJE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srednjoročni plan poslovanja u skladu s Uputom za izradu i dostavu planova i izvještaja o poslovanju trgovačkih društava i pravnih osoba koji čine državnu imovinu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godišnji plan poslovanja u skladu s Uputom za izradu i dostavu planova i izvještaja o poslovanju trgovačkih društava i pravnih osoba koji čine državnu imovinu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plan poslovanja sadrži ključne stavke godišnjeg financijskog plana poslovanja: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plansku bilancu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 računa dobiti i gubitka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 novčanog toka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Godišnjim planom poslovanja utvrđeni su ključni sektorski (industrijski) pokazatelji poslovanja (KPI) i naturalni pokazatelji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godišnji program rada i financijski plan za njegovu provedbu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pravne osobe koje posluju u skladu sa Zakonom o financijskom poslovanju i računovodstvu neprofitnih organizacija)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program rada, između ostaloga, sadrži: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osnovne ciljeve za godinu na koju se odnosi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aktivnosti i projekte koji se provode radi ostvarenja postavljenih ciljeva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resurse potrebne za ostvarivanje planiranih ciljeva (ljudske i financijske)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Financijski plan se sastoji od: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plana prihoda i rashoda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plana zaduživanja i otplata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obrazloženja financijskog plana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3D616B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Godišnji plan poslovanja, odnosno godišnji program rada i financijski plan, za tekuću godinu donesen je do 31. prosinca prethodne godine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Pr="003D616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godišnjeg plana poslovanja donesenog do 31. prosinca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godišnji plan ulaganja u dugotrajnu imovinu (plan investicija), kao zaseban dokument ili sastavni dio godišnjeg plana poslovanja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i pravne osobe koje posluju u skladu sa Zakonom o računovodstvu)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Pr="005B4DD2" w:rsidRDefault="006E5B9B" w:rsidP="006E5B9B">
      <w:pPr>
        <w:rPr>
          <w:rFonts w:cs="Arial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jc w:val="center"/>
        <w:rPr>
          <w:b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tbl>
      <w:tblPr>
        <w:tblW w:w="13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88"/>
        <w:gridCol w:w="560"/>
        <w:gridCol w:w="505"/>
        <w:gridCol w:w="639"/>
        <w:gridCol w:w="1694"/>
        <w:gridCol w:w="4641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6E5B9B" w:rsidTr="00B16BA4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1"/>
        </w:trPr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IZVRŠAVANJE </w:t>
            </w:r>
          </w:p>
        </w:tc>
      </w:tr>
      <w:tr w:rsidR="006E5B9B" w:rsidTr="003D616B">
        <w:trPr>
          <w:trHeight w:val="102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Poduzete su sve potrebne mjere za potpunu naplatu prihoda iz poslovnih aktivnosti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na uzorku od 10% dospjelih nenaplaćenih potraživanja sa stanjem 31. prosinca dokazi o poduzetim radnjama za naplatu (preslike, odnosno reference odgovarajućih dopisa, opomena), a najviše 100</w:t>
            </w:r>
          </w:p>
        </w:tc>
      </w:tr>
      <w:tr w:rsidR="006E5B9B" w:rsidTr="003D616B">
        <w:trPr>
          <w:trHeight w:val="5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Isplata sredstava temeljila se na vjerodostojnoj dokumentaciji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nasumično odabrano 1% svih isplata, a najviše 50 </w:t>
            </w:r>
          </w:p>
        </w:tc>
      </w:tr>
      <w:tr w:rsidR="006E5B9B" w:rsidTr="00B16BA4">
        <w:trPr>
          <w:trHeight w:val="5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Prije isplate sredstava neprofitnoj organizaciji sklopljen je ugovor u kojem su definirana prava i obveze neprofitne organizacije i isplatitelja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od 5% ukupnog broja svih ugovora, a najviše 20</w:t>
            </w:r>
          </w:p>
        </w:tc>
      </w:tr>
      <w:tr w:rsidR="006E5B9B" w:rsidTr="00B16BA4">
        <w:trPr>
          <w:trHeight w:val="53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Pratilo se i kontroliralo namjensko isplaćivanje donacija i sponzorstava do krajnjeg korisnika te korištenje istih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uzorak od 5% ukupnog broja svih isplata vezanih uz donacije i sponzorstava i minimalno 5% ukupne vrijednosti istih </w:t>
            </w:r>
          </w:p>
        </w:tc>
      </w:tr>
      <w:tr w:rsidR="006E5B9B" w:rsidTr="003D616B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Obveze prema dobavljačima su podmirivane u rokovima njihova dospijeća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od 5% ukupnog broja svih ulaznih računa i minimalno 5% ukupne vrijednosti svih ulaznih računa</w:t>
            </w:r>
          </w:p>
        </w:tc>
      </w:tr>
      <w:tr w:rsidR="006E5B9B" w:rsidTr="00B16BA4">
        <w:trPr>
          <w:trHeight w:val="6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Plaće i druga primanja predsjednika i članova uprave isplaćivale su se u skladu s Odlukom o utvrđivanju plaća i drugih primanja predsjednika i članova uprava trgovačkih društava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platne liste predsjednika i članova uprave</w:t>
            </w:r>
          </w:p>
        </w:tc>
      </w:tr>
      <w:tr w:rsidR="006E5B9B" w:rsidTr="00B16BA4">
        <w:trPr>
          <w:trHeight w:val="4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Sredstva kapitalnih potpora korištena su za predviđene namjene sukladno ugovoru s davateljem potpore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ugovor i izvještaj o korištenju sredstava kapitalne potpore</w:t>
            </w:r>
          </w:p>
        </w:tc>
      </w:tr>
      <w:tr w:rsidR="006E5B9B" w:rsidTr="00B16BA4">
        <w:trPr>
          <w:trHeight w:val="8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Prilikom isporuke opreme/izvođenja radova obavljene su sve potrebne provjere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13.1.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na način utvrđen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u skladu sa vremenskim rokovima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u skladu sa zahtjevima količine i kvalitete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na lokacijama koje su navedene u ugovoru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prema opisu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44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sukladno nacrtima, analizama, modelima, uzorcima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3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instalirana i u upotrebi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Prije dugoročnog zaduživanja za investiciju dobivena je suglasnost većinskog vlasnika, odnosno osnivača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pravne osobe u većinskom vlasništvu ili suvlasništvu jedinice lokalne i područne (regionalne) samouprave i ustanove čiji je osnivač jedinica lokalne i područne (regionalne) samouprave)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 dobivenih suglasnosti</w:t>
            </w:r>
          </w:p>
        </w:tc>
      </w:tr>
      <w:tr w:rsidR="006E5B9B" w:rsidTr="00B16BA4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Ugovori o kreditu, ugovori o primljenom zajmu ili dana jamstva vrijednosti iznad iznosa od 7.500.000,00 kuna sklapani su, odnosno dani na osnovi odluke o suglasnosti Vlade Republike Hrvatske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pravne osobe u većinskom vlasništvu ili suvlasništvu Republike Hrvatske)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 dobivenih odluka o suglasnosti Vlade Republike Hrvatske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  <w:sectPr w:rsidR="006E5B9B">
          <w:pgSz w:w="16838" w:h="11906" w:orient="landscape"/>
          <w:pgMar w:top="1418" w:right="1418" w:bottom="1418" w:left="1418" w:header="709" w:footer="709" w:gutter="0"/>
          <w:cols w:space="720"/>
        </w:sect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72"/>
        <w:gridCol w:w="5088"/>
        <w:gridCol w:w="560"/>
        <w:gridCol w:w="505"/>
        <w:gridCol w:w="639"/>
        <w:gridCol w:w="1694"/>
        <w:gridCol w:w="4649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509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JAVNA NABAVA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dokazati na uzorku od 20% financijski najznačajnijih ugovora/objava/provedenih postupaka javne nabave, a najviše 50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zaključenim ugovorima o nabavama velike vrijednosti ugovoreni su instrumenti za osiguranje urednog ispunjenja ugovornih obveza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ugovora, navesti članak u kojem stoje odredbe o instrumentima urednog ispunjenja ugovornih obveza  ili odredbe o ugovornoj kazni</w:t>
            </w:r>
          </w:p>
        </w:tc>
      </w:tr>
      <w:tr w:rsidR="006E5B9B" w:rsidTr="00B16BA4">
        <w:trPr>
          <w:trHeight w:val="58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Ugovori o javnoj nabavi zaključeni su u skladu s uvjetima određenim u dokumentaciji o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dokumentacije o provedenim postupcima i preslike odnosno reference ugovora</w:t>
            </w:r>
          </w:p>
        </w:tc>
      </w:tr>
      <w:tr w:rsidR="006E5B9B" w:rsidTr="00B16BA4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oznake i datum objave </w:t>
            </w:r>
          </w:p>
        </w:tc>
      </w:tr>
      <w:tr w:rsidR="006E5B9B" w:rsidTr="00B16BA4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ugovore o javnoj nabavi koji su se tijekom njegova trajanja značajno izmijenili, proveden je novi postupak javne nabave u skladu s odredbama Zakona o javnoj nabavi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Registar sklopljenih ugovora</w:t>
            </w: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dodataka ugovora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i redovito ažuriran plan nabave koji je objavljen na mrežnim stranicama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adresa mrežne stranice gdje je objavljen plan nabave i poveznica na objavljeni plan nabave u Elektroničkom oglasniku javne nabave za predmete nabave čija je procijenjena vrijednost nabave jednaka ili veća od 20.000,00 kuna</w:t>
            </w:r>
          </w:p>
        </w:tc>
      </w:tr>
      <w:tr w:rsidR="006E5B9B" w:rsidTr="00B16BA4">
        <w:trPr>
          <w:trHeight w:val="9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Donesena je interna odluka kojom je imenovano stručno povjerenstvo za javnu nabavu koje je pripremalo i provodilo postupak javne nabave, a najmanje jedan član stručnog povjerenstva imao je važeći certifikat u području javne nabave u skladu s propisima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potvrda i internih odluka o imenovanju stručnih povjerenstava za javnu nabavu</w:t>
            </w: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78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Osobe koje prate provedbu ugovora različite su od osoba koje su bile članovi stručnog povjerenstva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imena osoba koje su sudjelovale u provedbi postupka i osoba koje prate provedbu ugovora te preslika odnosno referenca internih odluka o imenovanju ovlaštenih predstavnika naručitelja</w:t>
            </w:r>
          </w:p>
        </w:tc>
      </w:tr>
      <w:tr w:rsidR="006E5B9B" w:rsidTr="00B16BA4">
        <w:trPr>
          <w:trHeight w:val="74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adresa mrežne stranice gdje je objavljen registar ugovora o javnoj nabavi i okvirnih sporazuma  i poveznica na objavljeni registar ugovora u Elektroničkom oglasniku javne nabave za predmete nabave čija je procijenjena vrijednost nabave jednaka ili veća od 20.000,00 kn</w:t>
            </w:r>
          </w:p>
        </w:tc>
      </w:tr>
      <w:tr w:rsidR="006E5B9B" w:rsidTr="00B16BA4">
        <w:trPr>
          <w:trHeight w:val="8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31. ožujka tijelu nadležnom za politiku javne nabave dostavljeno je statističko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odnosno referenca izvješća u EOJN, preslika odnosno referenca izvješća o javnoj nabavi koje sadrži i ukupan iznos jednostavne nabave prema vrsti predmeta nabave (roba, usluga i radovi)</w:t>
            </w:r>
          </w:p>
        </w:tc>
      </w:tr>
      <w:tr w:rsidR="006E5B9B" w:rsidTr="00B16BA4">
        <w:trPr>
          <w:trHeight w:val="6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akt kojim su uređena pitanja jednostavne nabave za nabavu robe i usluga, odnosno za nabavu radova na koje se ne primjenjuje Zakon o javnoj nabavi te je akt objavljen na mrežnim stranicama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akta adresa mrežne stranice na kojoj je objavljen akt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je provođenje postupaka javne nabave centralizirano, obveznik odgovara „NIJE PRIMJENJIVO – N/P“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  <w:r>
        <w:rPr>
          <w:sz w:val="20"/>
          <w:szCs w:val="20"/>
        </w:rPr>
        <w:br w:type="page"/>
      </w:r>
    </w:p>
    <w:tbl>
      <w:tblPr>
        <w:tblW w:w="136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194"/>
        <w:gridCol w:w="560"/>
        <w:gridCol w:w="505"/>
        <w:gridCol w:w="567"/>
        <w:gridCol w:w="1659"/>
        <w:gridCol w:w="4361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50"/>
        </w:trPr>
        <w:tc>
          <w:tcPr>
            <w:tcW w:w="1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RAČUNOVODSTVO</w:t>
            </w:r>
          </w:p>
        </w:tc>
      </w:tr>
      <w:tr w:rsidR="006E5B9B" w:rsidTr="003D616B">
        <w:trPr>
          <w:trHeight w:val="76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5% svih ugovora i minimalno 5% ukupne vrijednosti svih ugovora</w:t>
            </w:r>
          </w:p>
        </w:tc>
      </w:tr>
      <w:tr w:rsidR="006E5B9B" w:rsidTr="003D616B"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dokumenata na uzorku 5% svih dokumenata, a najviše 100</w:t>
            </w:r>
          </w:p>
        </w:tc>
      </w:tr>
      <w:tr w:rsidR="006E5B9B" w:rsidTr="003D616B">
        <w:trPr>
          <w:trHeight w:val="34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Postoji izvještaj o obavljenoj usluzi,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izvještaja ili druge dokumentacije na uzorku 1% izvršenih usluga, a najviše 100</w:t>
            </w:r>
          </w:p>
        </w:tc>
      </w:tr>
      <w:tr w:rsidR="006E5B9B" w:rsidTr="00B16BA4">
        <w:trPr>
          <w:trHeight w:val="8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izvedenim radovima postoji privremena, odnosno konačna obračunska situacija, koju odobrava osoba,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preslike, odnosno reference odobrenih privremenih, odnosno konačnih situacija na uzorku 5% svih ugovora </w:t>
            </w:r>
          </w:p>
        </w:tc>
      </w:tr>
      <w:tr w:rsidR="006E5B9B" w:rsidTr="003D616B">
        <w:trPr>
          <w:trHeight w:val="2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zaprimljenim računima navedeni su svi elementi računa u skladu sa zakonskim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propisima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3D616B">
        <w:trPr>
          <w:trHeight w:val="7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Računi sadrže detaljnu specifikaciju roba/usluga/radova koje odgovaraju opisu i specifikaciji roba/usluga/radova definiranih narudžbenicom,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uzorak1% svih računa, a najviše 100</w:t>
            </w:r>
          </w:p>
        </w:tc>
      </w:tr>
      <w:tr w:rsidR="006E5B9B" w:rsidTr="003D616B">
        <w:trPr>
          <w:trHeight w:val="7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svaki račun obavljena je matematička kontrola ispravnosti iznosa koji je zaračunan što je evidentno u postupku obrade računa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3D616B">
        <w:trPr>
          <w:trHeight w:val="52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Provjereno je postojanje potpisa, žiga ili elektroničke oznake kojom se može potvrditi da je račun odobren za plaćanje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B16BA4">
        <w:trPr>
          <w:trHeight w:val="56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 dužnicima usklađeni su podaci o potraživanjima na datum 31. listopada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izvoda otvorenih stavaka na uzorku 10%, ali ne više od 20 izvoda otvorenih stavaka</w:t>
            </w:r>
          </w:p>
        </w:tc>
      </w:tr>
      <w:tr w:rsidR="006E5B9B" w:rsidTr="003D616B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Izvještaj o obavljenom popisu sadrži popis potraživanja i obveza po pojedinom vjerovniku, odnosno dužniku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popisa vjerovnika i dužnika s iznosim potraživanja i obveza po pojedinom vjerovniku, odnosno dužniku</w:t>
            </w:r>
          </w:p>
        </w:tc>
      </w:tr>
      <w:tr w:rsidR="006E5B9B" w:rsidTr="00B16BA4">
        <w:trPr>
          <w:trHeight w:val="2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dijela evidencije</w:t>
            </w:r>
          </w:p>
        </w:tc>
      </w:tr>
      <w:tr w:rsidR="006E5B9B" w:rsidTr="00B16BA4">
        <w:trPr>
          <w:trHeight w:val="5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Ustrojene su evidencije (baze podataka, interni registri i dr.) dugotrajne imovine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slika zaslona (print screen) dijela evidencije, odnosno referenca dijela ustrojene evidencije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se u različitim pitanjima traži isti dokaz, potrebno ga je priložiti samo jednom </w:t>
      </w:r>
    </w:p>
    <w:p w:rsidR="006E5B9B" w:rsidRDefault="006E5B9B" w:rsidP="006E5B9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  <w:r>
        <w:rPr>
          <w:sz w:val="20"/>
          <w:szCs w:val="20"/>
        </w:rPr>
        <w:br w:type="page"/>
      </w: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6331"/>
        <w:gridCol w:w="563"/>
        <w:gridCol w:w="505"/>
        <w:gridCol w:w="639"/>
        <w:gridCol w:w="4876"/>
      </w:tblGrid>
      <w:tr w:rsidR="006E5B9B" w:rsidTr="00B16BA4">
        <w:trPr>
          <w:trHeight w:val="283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06"/>
        </w:trPr>
        <w:tc>
          <w:tcPr>
            <w:tcW w:w="1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IZVJEŠTAVANJE</w:t>
            </w:r>
          </w:p>
        </w:tc>
      </w:tr>
      <w:tr w:rsidR="006E5B9B" w:rsidTr="003D616B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predaje financijskih izvještaja poštivali su se rokovi i način predaje utvrđeni Zakonom o računovodstvu, odnosno Zakonom o financijskom poslovanju i računovodstvu neprofitnih organizacija i na temelju njih donesenim propisima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preslike, odnosno reference referentnih stranica financijskih izvještaja </w:t>
            </w:r>
          </w:p>
        </w:tc>
      </w:tr>
      <w:tr w:rsidR="006E5B9B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Sastavljen je godišnji izvještaj o poslovanju u skladu s Uputom za izradu i dostavu planova i izvještaja o poslovanju trgovačkih društava i pravnih osoba koji čine državnu imovinu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izvještaj o poslovanju sadrži izvještaje (bilanca, RDIG, izvještaj o novčanom toku, podaci za Ministarstvo financija, prikaz ključnih sektorskih (industrijskih) pokazatelja poslovanja) koji uključuju i: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usporedne planske veličine, odnosno plan poslovanja iz godišnjih financijskih planova poslovanja, u obliku indeksa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usporedne ostvarene rezultate, odnosno ostvarenja za ekvivalentne veličine (isti period) iz Izvještaj o poslovanju (ostvarenju) za prethodna razdoblja, u obliku indeksa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izvještaj o poslovanju sadrži analizu duga, koja se sastoji od: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primljenih kredita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danih garancija i jamstava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obveznica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ostalog duga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Godišnji izvještaj o poslovanju sadrži popis dodijeljene državne potpore u skladu sa Zakonom o državnim potporama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Opisni dio godišnjeg izvještaja o poslovanju uključuje sažetak financijske analize poslovne godine s osvrtom na, između ostalog: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neto dobit, EBITDA i bruto marža, apsolutno i u postotku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značajnijih investicija i ulaganja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opis promjena u ključnim pokazateljima poslovanja (likvidnost, zaduženost, aktivnost i profitabilnost)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opisnog dijela godišnjeg izvještaja ili poveznica na mrežne stranice gdje je izvještaj objavljen</w:t>
            </w:r>
          </w:p>
        </w:tc>
      </w:tr>
      <w:tr w:rsidR="006E5B9B" w:rsidTr="00B16BA4">
        <w:trPr>
          <w:trHeight w:val="7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Sastavljen je izvještaj o provedbi godišnjeg programa rada i financijskog plana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svi osim trgovačkih društava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izvještaja o provedbi godišnjeg programa rada i financijskog plana ili poveznica na mrežne stranice gdje je izvještaj objavljen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56"/>
        <w:gridCol w:w="563"/>
        <w:gridCol w:w="505"/>
        <w:gridCol w:w="639"/>
        <w:gridCol w:w="4987"/>
      </w:tblGrid>
      <w:tr w:rsidR="006E5B9B" w:rsidTr="00B16BA4">
        <w:trPr>
          <w:trHeight w:val="2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26"/>
        </w:trPr>
        <w:tc>
          <w:tcPr>
            <w:tcW w:w="1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TRANSPARENTNOST </w:t>
            </w:r>
          </w:p>
        </w:tc>
      </w:tr>
      <w:tr w:rsidR="006E5B9B" w:rsidTr="00B16BA4">
        <w:trPr>
          <w:trHeight w:val="8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Definirani su i objavljeni interni akti kojima se uredilo pitanje pravila za prevenciju od korupcije i osiguranja profesionalnog ponašanja, koja se odnose na osobe koje nisu dužnosnici prema Zakonu o sprečavanju sukoba interesa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6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darovima i naknadama od poslovnih partnera i poslovnim partnerima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5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povjerljivošću i nepristranošću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4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mogućnošću obavljanja dodatnog posla (izvan radnog vremena)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5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41.4.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razdvajanjem privatnih i poslovnih interesa i sl.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9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Uvedena je obveza potpisivanja izjave o povjerljivosti i nepristranosti za zaposlenike na radnim mjestima koja su, analizom i procjenom rizika, ocijenjena visokim stupnjem rizika na korupciju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akta kojim je uvedena obveza potpisivanja izjave o povjerljivosti i nepristranosti za određena radna mjesta</w:t>
            </w:r>
          </w:p>
        </w:tc>
      </w:tr>
      <w:tr w:rsidR="006E5B9B" w:rsidTr="00B16BA4">
        <w:trPr>
          <w:trHeight w:val="5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mrežnoj stranici objavljeni su podaci i informacije sukladno članku 10. Zakona o pravu na pristup informacijama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3D616B">
        <w:trPr>
          <w:trHeight w:val="8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mrežnoj stranici na lako pretraživ način i u strojno čitljivom obliku objavljeni su godišnji planovi, programi, strategije, upute, izvješća o radu, financijska izvješća i drugi odgovarajući dokumenti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poveznica na mrežne stranice </w:t>
            </w:r>
          </w:p>
        </w:tc>
      </w:tr>
      <w:tr w:rsidR="006E5B9B" w:rsidTr="003D616B">
        <w:trPr>
          <w:trHeight w:val="9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mrežnoj stranici na lako pretraživ način i u strojno čitljivom obliku objavljen je financijski plan ili drugi odgovarajući dokument kojim se utvrđuju prihodi i rashodi te podaci i izvješća o izvršenju financijskog plana ili drugog odgovarajućeg dokumenta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poveznica na mrežne stranice </w:t>
            </w:r>
          </w:p>
        </w:tc>
      </w:tr>
      <w:tr w:rsidR="006E5B9B" w:rsidTr="00887E0B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43.3.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mrežnoj stranici na lako pretraživ način i u strojno čitljivom obliku objavljene su informacije o dodijeljenim bespovratnim sredstvima, sponzorstvima, donacijama ili drugim pomoćima, uključujući popis korisnika i visinu iznosa.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</w:t>
            </w:r>
            <w:r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E5B9B" w:rsidRDefault="006E5B9B" w:rsidP="006E5B9B">
      <w:pPr>
        <w:rPr>
          <w:rFonts w:ascii="Arial" w:hAnsi="Arial" w:cs="Arial"/>
          <w:bCs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i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CC3AF7" w:rsidRDefault="00CC3AF7"/>
    <w:sectPr w:rsidR="00CC3AF7" w:rsidSect="00DF3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13" w:rsidRDefault="00025B13" w:rsidP="006E5B9B">
      <w:r>
        <w:separator/>
      </w:r>
    </w:p>
  </w:endnote>
  <w:endnote w:type="continuationSeparator" w:id="0">
    <w:p w:rsidR="00025B13" w:rsidRDefault="00025B13" w:rsidP="006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13" w:rsidRDefault="00025B13" w:rsidP="006E5B9B">
      <w:r>
        <w:separator/>
      </w:r>
    </w:p>
  </w:footnote>
  <w:footnote w:type="continuationSeparator" w:id="0">
    <w:p w:rsidR="00025B13" w:rsidRDefault="00025B13" w:rsidP="006E5B9B">
      <w:r>
        <w:continuationSeparator/>
      </w:r>
    </w:p>
  </w:footnote>
  <w:footnote w:id="1">
    <w:p w:rsidR="006E5B9B" w:rsidRDefault="006E5B9B" w:rsidP="006E5B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3">
    <w:p w:rsidR="006E5B9B" w:rsidRDefault="006E5B9B" w:rsidP="006E5B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4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  <w:footnote w:id="6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9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10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  <w:footnote w:id="11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03B2"/>
    <w:multiLevelType w:val="hybridMultilevel"/>
    <w:tmpl w:val="7654F880"/>
    <w:lvl w:ilvl="0" w:tplc="0E0C5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B"/>
    <w:rsid w:val="00025B13"/>
    <w:rsid w:val="000E21C3"/>
    <w:rsid w:val="003D616B"/>
    <w:rsid w:val="00476818"/>
    <w:rsid w:val="006E5B9B"/>
    <w:rsid w:val="00887E0B"/>
    <w:rsid w:val="0097131E"/>
    <w:rsid w:val="00CC3AF7"/>
    <w:rsid w:val="00DF31D4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72E6-ECFB-4DD7-854C-49EC832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semiHidden/>
    <w:locked/>
    <w:rsid w:val="006E5B9B"/>
    <w:rPr>
      <w:rFonts w:eastAsia="Times New Roman" w:cs="Times New Roman"/>
      <w:sz w:val="20"/>
      <w:szCs w:val="20"/>
      <w:lang w:val="en-US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semiHidden/>
    <w:unhideWhenUsed/>
    <w:rsid w:val="006E5B9B"/>
    <w:rPr>
      <w:rFonts w:asciiTheme="minorHAnsi" w:hAnsiTheme="minorHAnsi"/>
      <w:sz w:val="20"/>
      <w:szCs w:val="20"/>
      <w:lang w:val="en-US"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6E5B9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uiPriority w:val="99"/>
    <w:semiHidden/>
    <w:unhideWhenUsed/>
    <w:rsid w:val="006E5B9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2</cp:revision>
  <dcterms:created xsi:type="dcterms:W3CDTF">2024-02-01T07:08:00Z</dcterms:created>
  <dcterms:modified xsi:type="dcterms:W3CDTF">2024-02-01T07:08:00Z</dcterms:modified>
</cp:coreProperties>
</file>